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</w:t>
      </w:r>
    </w:p>
    <w:p>
      <w:r>
        <w:rPr>
          <w:b/>
          <w:bCs/>
        </w:rPr>
        <w:t xml:space="preserve">Documento: </w:t>
      </w:r>
      <w:r>
        <w:t xml:space="preserve">SINTÉTICO - generado para demostración; sin valor probatorio ni relación con hechos reales</w:t>
      </w:r>
    </w:p>
    <w:p>
      <w:r>
        <w:rPr>
          <w:b/>
          <w:bCs/>
        </w:rPr>
        <w:t xml:space="preserve">NUNC: </w:t>
      </w:r>
      <w:r>
        <w:t xml:space="preserve">080019920258752028478</w:t>
      </w:r>
    </w:p>
    <w:p>
      <w:r>
        <w:rPr>
          <w:b/>
          <w:bCs/>
        </w:rPr>
        <w:t xml:space="preserve">Fecha del documento: </w:t>
      </w:r>
      <w:r>
        <w:t xml:space="preserve">31 de julio de 2025</w:t>
      </w:r>
    </w:p>
    <w:p>
      <w:r>
        <w:rPr>
          <w:b/>
          <w:bCs/>
        </w:rPr>
        <w:t xml:space="preserve">Unidad: </w:t>
      </w:r>
      <w:r>
        <w:t xml:space="preserve">Fiscalía Seccional Barranquilla (sintética)</w:t>
      </w:r>
    </w:p>
    <w:p/>
    <w:p>
      <w:r>
        <w:rPr>
          <w:b/>
          <w:bCs/>
        </w:rPr>
        <w:t xml:space="preserve">Perito: </w:t>
      </w:r>
      <w:r>
        <w:t xml:space="preserve">Perito sintético</w:t>
      </w:r>
    </w:p>
    <w:p>
      <w:r>
        <w:rPr>
          <w:b/>
          <w:bCs/>
        </w:rPr>
        <w:t xml:space="preserve">Área: </w:t>
      </w:r>
      <w:r>
        <w:t xml:space="preserve">medicina_legal</w:t>
      </w:r>
    </w:p>
    <w:p>
      <w:pPr>
        <w:pStyle w:val="Heading2"/>
        <w:spacing w:before="200"/>
      </w:pPr>
      <w:r>
        <w:rPr>
          <w:b/>
          <w:bCs/>
        </w:rPr>
        <w:t xml:space="preserve">OBJETO DEL PERITAJE</w:t>
      </w:r>
    </w:p>
    <w:p>
      <w:pPr>
        <w:spacing w:after="100"/>
      </w:pPr>
      <w:r>
        <w:t xml:space="preserve">Examinar los elementos asociados al hecho de Lesiones personales ocurrido el 20 de julio de 2025 en Carrera 18 # 16-46, barrio Tierra Linda.</w:t>
      </w:r>
    </w:p>
    <w:p>
      <w:pPr>
        <w:pStyle w:val="Heading2"/>
        <w:spacing w:before="200"/>
      </w:pPr>
      <w:r>
        <w:rPr>
          <w:b/>
          <w:bCs/>
        </w:rPr>
        <w:t xml:space="preserve">MATERIAL EXAMINADO</w:t>
      </w:r>
    </w:p>
    <w:p>
      <w:pPr>
        <w:ind w:left="360"/>
      </w:pPr>
      <w:r>
        <w:t xml:space="preserve">- EMP dictamen (CC-028478-01) - Dictamen médico legal inicial</w:t>
      </w:r>
    </w:p>
    <w:p>
      <w:pPr>
        <w:pStyle w:val="Heading2"/>
        <w:spacing w:before="200"/>
      </w:pPr>
      <w:r>
        <w:rPr>
          <w:b/>
          <w:bCs/>
        </w:rPr>
        <w:t xml:space="preserve">METODOLOGÍA</w:t>
      </w:r>
    </w:p>
    <w:p>
      <w:pPr>
        <w:spacing w:after="100"/>
      </w:pPr>
      <w:r>
        <w:t xml:space="preserve">Se aplicaron procedimientos estándar de la especialidad con verificación entre pares y registro fotográfico.</w:t>
      </w:r>
    </w:p>
    <w:p>
      <w:pPr>
        <w:pStyle w:val="Heading2"/>
        <w:spacing w:before="200"/>
      </w:pPr>
      <w:r>
        <w:rPr>
          <w:b/>
          <w:bCs/>
        </w:rPr>
        <w:t xml:space="preserve">RESULTADOS</w:t>
      </w:r>
    </w:p>
    <w:p>
      <w:pPr>
        <w:ind w:left="360"/>
      </w:pPr>
      <w:r>
        <w:t xml:space="preserve">- Pericia medicina_legal (CC-028478-01): concluyente.</w:t>
      </w:r>
    </w:p>
    <w:p/>
    <w:p>
      <w:pPr>
        <w:pStyle w:val="Heading2"/>
        <w:spacing w:before="200"/>
      </w:pPr>
      <w:r>
        <w:rPr>
          <w:b/>
          <w:bCs/>
        </w:rPr>
        <w:t xml:space="preserve">CONCLUSIONES</w:t>
      </w:r>
    </w:p>
    <w:p>
      <w:pPr>
        <w:spacing w:after="100"/>
      </w:pPr>
      <w:r>
        <w:t xml:space="preserve">Los resultados constituyen insumo técnico para el analista; no establecen responsabilidad de persona alguna.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doc-0040 -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- Lesiones personales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